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42A13C3" wp14:paraId="6387C317" wp14:textId="7B3E1E38">
      <w:pPr>
        <w:pStyle w:val="Heading3"/>
        <w:spacing w:before="120" w:beforeAutospacing="off" w:after="240" w:afterAutospacing="off"/>
        <w:rPr/>
      </w:pPr>
      <w:r w:rsidRPr="042A13C3" w:rsidR="3C463795">
        <w:rPr>
          <w:rFonts w:ascii="Roboto" w:hAnsi="Roboto" w:eastAsia="Roboto" w:cs="Roboto"/>
          <w:b w:val="1"/>
          <w:bCs w:val="1"/>
          <w:i w:val="0"/>
          <w:iCs w:val="0"/>
          <w:caps w:val="0"/>
          <w:smallCaps w:val="0"/>
          <w:noProof w:val="0"/>
          <w:color w:val="003366"/>
          <w:sz w:val="22"/>
          <w:szCs w:val="22"/>
          <w:lang w:val="da-DK"/>
        </w:rPr>
        <w:t>Genansættelse og bevarelse af anciennitet i relation til sygeløn</w:t>
      </w:r>
    </w:p>
    <w:p xmlns:wp14="http://schemas.microsoft.com/office/word/2010/wordml" w:rsidP="042A13C3" wp14:paraId="7D3F746A" wp14:textId="1F495A68">
      <w:pPr>
        <w:pStyle w:val="Heading6"/>
        <w:spacing w:before="0" w:beforeAutospacing="off"/>
        <w:ind w:left="-240" w:right="-20"/>
        <w:rPr/>
      </w:pPr>
      <w:r w:rsidRPr="042A13C3" w:rsidR="3C463795">
        <w:rPr>
          <w:rFonts w:ascii="Roboto" w:hAnsi="Roboto" w:eastAsia="Roboto" w:cs="Roboto"/>
          <w:b w:val="0"/>
          <w:bCs w:val="0"/>
          <w:i w:val="0"/>
          <w:iCs w:val="0"/>
          <w:caps w:val="0"/>
          <w:smallCaps w:val="0"/>
          <w:noProof w:val="0"/>
          <w:color w:val="4D4D4D"/>
          <w:sz w:val="24"/>
          <w:szCs w:val="24"/>
          <w:lang w:val="da-DK"/>
        </w:rPr>
        <w:t>Kendelse af 20. februar 2024 i FV2023-1085</w:t>
      </w:r>
    </w:p>
    <w:p xmlns:wp14="http://schemas.microsoft.com/office/word/2010/wordml" w:rsidP="042A13C3" wp14:paraId="3F35BDD1" wp14:textId="1EF95111">
      <w:pPr>
        <w:spacing w:before="0" w:beforeAutospacing="off" w:after="0" w:afterAutospacing="off"/>
        <w:ind w:left="-240" w:right="-20"/>
        <w:rPr/>
      </w:pPr>
      <w:r w:rsidRPr="042A13C3" w:rsidR="3C463795">
        <w:rPr>
          <w:rFonts w:ascii="Roboto" w:hAnsi="Roboto" w:eastAsia="Roboto" w:cs="Roboto"/>
          <w:b w:val="0"/>
          <w:bCs w:val="0"/>
          <w:i w:val="0"/>
          <w:iCs w:val="0"/>
          <w:caps w:val="0"/>
          <w:smallCaps w:val="0"/>
          <w:noProof w:val="0"/>
          <w:color w:val="4D4D4D"/>
          <w:sz w:val="24"/>
          <w:szCs w:val="24"/>
          <w:lang w:val="da-DK"/>
        </w:rPr>
        <w:t>Sag nr. 2023-1085 Børge Dahl</w:t>
      </w:r>
    </w:p>
    <w:p xmlns:wp14="http://schemas.microsoft.com/office/word/2010/wordml" w:rsidP="042A13C3" wp14:paraId="3E32EE24" wp14:textId="10AF3CA3">
      <w:pPr>
        <w:spacing w:before="0" w:beforeAutospacing="off" w:after="0" w:afterAutospacing="off"/>
        <w:ind w:left="-240" w:right="-20"/>
        <w:rPr/>
      </w:pPr>
      <w:r w:rsidRPr="042A13C3" w:rsidR="3C463795">
        <w:rPr>
          <w:rFonts w:ascii="Roboto" w:hAnsi="Roboto" w:eastAsia="Roboto" w:cs="Roboto"/>
          <w:b w:val="1"/>
          <w:bCs w:val="1"/>
          <w:i w:val="0"/>
          <w:iCs w:val="0"/>
          <w:caps w:val="0"/>
          <w:smallCaps w:val="0"/>
          <w:noProof w:val="0"/>
          <w:color w:val="4D4D4D"/>
          <w:sz w:val="24"/>
          <w:szCs w:val="24"/>
          <w:lang w:val="da-DK"/>
        </w:rPr>
        <w:t>2024-02-20</w:t>
      </w:r>
    </w:p>
    <w:p xmlns:wp14="http://schemas.microsoft.com/office/word/2010/wordml" w:rsidP="042A13C3" wp14:paraId="1C0ABFBA" wp14:textId="1C86D8F3">
      <w:pPr>
        <w:spacing w:before="0" w:beforeAutospacing="off" w:after="0" w:afterAutospacing="off"/>
        <w:ind w:left="-240" w:right="-20"/>
        <w:rPr/>
      </w:pPr>
      <w:r w:rsidRPr="042A13C3" w:rsidR="3C463795">
        <w:rPr>
          <w:rFonts w:ascii="Roboto" w:hAnsi="Roboto" w:eastAsia="Roboto" w:cs="Roboto"/>
          <w:b w:val="0"/>
          <w:bCs w:val="0"/>
          <w:i w:val="0"/>
          <w:iCs w:val="0"/>
          <w:caps w:val="0"/>
          <w:smallCaps w:val="0"/>
          <w:noProof w:val="0"/>
          <w:color w:val="333333"/>
          <w:sz w:val="24"/>
          <w:szCs w:val="24"/>
          <w:lang w:val="da-DK"/>
        </w:rPr>
        <w:t>Fagligt Fælles Forbund (3F) mod Dansk Industri Overenskomst III (DIO III) for CRH Concrete A/S</w:t>
      </w:r>
    </w:p>
    <w:p xmlns:wp14="http://schemas.microsoft.com/office/word/2010/wordml" w:rsidP="042A13C3" wp14:paraId="6CEFE133" wp14:textId="721471A4">
      <w:pPr>
        <w:spacing w:before="0" w:beforeAutospacing="off" w:after="0" w:afterAutospacing="off"/>
        <w:ind w:left="-240" w:right="-20"/>
        <w:rPr/>
      </w:pPr>
      <w:r w:rsidRPr="042A13C3" w:rsidR="3C463795">
        <w:rPr>
          <w:rFonts w:ascii="Roboto" w:hAnsi="Roboto" w:eastAsia="Roboto" w:cs="Roboto"/>
          <w:b w:val="0"/>
          <w:bCs w:val="0"/>
          <w:i w:val="0"/>
          <w:iCs w:val="0"/>
          <w:caps w:val="0"/>
          <w:smallCaps w:val="0"/>
          <w:noProof w:val="0"/>
          <w:color w:val="333333"/>
          <w:sz w:val="24"/>
          <w:szCs w:val="24"/>
          <w:lang w:val="da-DK"/>
        </w:rPr>
        <w:t>Faglige voldgiftsretter</w:t>
      </w:r>
    </w:p>
    <w:p xmlns:wp14="http://schemas.microsoft.com/office/word/2010/wordml" w:rsidP="042A13C3" wp14:paraId="3726D761" wp14:textId="60130215">
      <w:pPr>
        <w:spacing w:before="0" w:beforeAutospacing="off" w:after="0" w:afterAutospacing="off"/>
        <w:ind w:left="-240" w:right="-20"/>
        <w:rPr/>
      </w:pPr>
      <w:hyperlink r:id="Rbeefbb135abe4306">
        <w:r w:rsidRPr="042A13C3" w:rsidR="3C463795">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på Arbejdsretten.dk</w:t>
        </w:r>
        <w:r>
          <w:br/>
        </w:r>
      </w:hyperlink>
      <w:hyperlink r:id="Reb34d480706b4ff8">
        <w:r w:rsidRPr="042A13C3" w:rsidR="3C463795">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PDF</w:t>
        </w:r>
      </w:hyperlink>
    </w:p>
    <w:p xmlns:wp14="http://schemas.microsoft.com/office/word/2010/wordml" wp14:paraId="195399D8" wp14:textId="58F3464C">
      <w:pPr>
        <w:rPr/>
      </w:pPr>
    </w:p>
    <w:p xmlns:wp14="http://schemas.microsoft.com/office/word/2010/wordml" w:rsidP="042A13C3" wp14:paraId="27E7D0FA" wp14:textId="0BF3087E">
      <w:pPr>
        <w:pStyle w:val="Heading4"/>
        <w:spacing w:before="0" w:beforeAutospacing="off" w:after="120" w:afterAutospacing="off"/>
        <w:rPr/>
      </w:pPr>
      <w:r w:rsidRPr="042A13C3" w:rsidR="3C463795">
        <w:rPr>
          <w:rFonts w:ascii="Roboto" w:hAnsi="Roboto" w:eastAsia="Roboto" w:cs="Roboto"/>
          <w:b w:val="1"/>
          <w:bCs w:val="1"/>
          <w:i w:val="0"/>
          <w:iCs w:val="0"/>
          <w:caps w:val="0"/>
          <w:smallCaps w:val="0"/>
          <w:noProof w:val="0"/>
          <w:color w:val="333333"/>
          <w:sz w:val="22"/>
          <w:szCs w:val="22"/>
          <w:lang w:val="da-DK"/>
        </w:rPr>
        <w:t>Sammenfatning</w:t>
      </w:r>
    </w:p>
    <w:p xmlns:wp14="http://schemas.microsoft.com/office/word/2010/wordml" w:rsidP="042A13C3" wp14:paraId="34C4BAAD" wp14:textId="25D0252B">
      <w:pPr>
        <w:ind w:left="-20" w:right="-20"/>
        <w:rPr/>
      </w:pPr>
      <w:r w:rsidRPr="042A13C3" w:rsidR="3C463795">
        <w:rPr>
          <w:rFonts w:ascii="Calibri" w:hAnsi="Calibri" w:eastAsia="Calibri" w:cs="Calibri"/>
          <w:b w:val="0"/>
          <w:bCs w:val="0"/>
          <w:i w:val="0"/>
          <w:iCs w:val="0"/>
          <w:caps w:val="0"/>
          <w:smallCaps w:val="0"/>
          <w:noProof w:val="0"/>
          <w:color w:val="333333"/>
          <w:sz w:val="24"/>
          <w:szCs w:val="24"/>
          <w:lang w:val="da-DK"/>
        </w:rPr>
        <w:t>Sagen omhandler et krav fra Fagligt Fælles Forbund (3F) mod Dansk Industri Overenskomst III (DIO III) for CRH Concrete A/S vedrørende bevarelse af anciennitet i relation til sygeløn ved genansættelse. Medarbejderen A blev genansat i en anden produktionsenhed efter lukning af den oprindelige, med anciennitet dateret fra den oprindelige ansættelsesdato. Tvisten drejede sig om, hvorvidt A ved genansættelsen bevarede sin anciennitet i forhold til retten til sygeløn under Industrioverenskomsten 2023. Under sagen blev der lagt vægt på overenskomstens formuleringer om anciennitet i forbindelse med sygeløn, opsigelse og genansættelse, samt hvordan disse forhold blev behandlet i A's ansættelseskontrakt. Der blev hørt forklaringer fra A, en tillidsrepræsentant og en personalejuridisk ansvarlig fra CRH Concrete A/S.</w:t>
      </w:r>
    </w:p>
    <w:p xmlns:wp14="http://schemas.microsoft.com/office/word/2010/wordml" w:rsidP="042A13C3" wp14:paraId="0B86B140" wp14:textId="022369D5">
      <w:pPr>
        <w:pStyle w:val="Heading4"/>
        <w:spacing w:before="240" w:beforeAutospacing="off" w:after="120" w:afterAutospacing="off"/>
        <w:rPr/>
      </w:pPr>
      <w:r w:rsidRPr="042A13C3" w:rsidR="3C463795">
        <w:rPr>
          <w:rFonts w:ascii="Roboto" w:hAnsi="Roboto" w:eastAsia="Roboto" w:cs="Roboto"/>
          <w:b w:val="1"/>
          <w:bCs w:val="1"/>
          <w:i w:val="0"/>
          <w:iCs w:val="0"/>
          <w:caps w:val="0"/>
          <w:smallCaps w:val="0"/>
          <w:noProof w:val="0"/>
          <w:color w:val="333333"/>
          <w:sz w:val="22"/>
          <w:szCs w:val="22"/>
          <w:lang w:val="da-DK"/>
        </w:rPr>
        <w:t>Afgørelse</w:t>
      </w:r>
    </w:p>
    <w:p xmlns:wp14="http://schemas.microsoft.com/office/word/2010/wordml" w:rsidP="042A13C3" wp14:paraId="30105DF5" wp14:textId="56AB4BA9">
      <w:pPr>
        <w:ind w:left="-20" w:right="-20"/>
        <w:rPr/>
      </w:pPr>
      <w:r w:rsidRPr="042A13C3" w:rsidR="3C463795">
        <w:rPr>
          <w:rFonts w:ascii="Calibri" w:hAnsi="Calibri" w:eastAsia="Calibri" w:cs="Calibri"/>
          <w:b w:val="0"/>
          <w:bCs w:val="0"/>
          <w:i w:val="0"/>
          <w:iCs w:val="0"/>
          <w:caps w:val="0"/>
          <w:smallCaps w:val="0"/>
          <w:noProof w:val="0"/>
          <w:color w:val="333333"/>
          <w:sz w:val="24"/>
          <w:szCs w:val="24"/>
          <w:lang w:val="da-DK"/>
        </w:rPr>
        <w:t>Arbejdsretten afgjorde, at CRH Concrete A/S skulle betale A 3.878,11 kr., da virksomheden i ansættelseskontrakten havde tillagt A en anciennitet, som indebærer, at han opfyldte anciennitetskravet i § 79, stk. 3, i Industrioverenskomsten ved sygdom. Retten afviste klagers generelle påstand om overenskomstens efterlevelse ved genansættelse som for generel og ubestemt, og afviste kravet om bod for overenskomstbrud, da betingelserne for at lade kravet afgøre ved faglig voldgift ikke var opfyldt. Hver part bærer egne omkostninger og halvdelen af udgiften til opmand.</w:t>
      </w:r>
    </w:p>
    <w:p xmlns:wp14="http://schemas.microsoft.com/office/word/2010/wordml" w:rsidP="042A13C3" wp14:paraId="205A6F2F" wp14:textId="4259E16B">
      <w:pPr>
        <w:pStyle w:val="Norma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4AF1FA"/>
    <w:rsid w:val="042A13C3"/>
    <w:rsid w:val="094AF1FA"/>
    <w:rsid w:val="3C4637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F1FA"/>
  <w15:chartTrackingRefBased/>
  <w15:docId w15:val="{0AC45289-24CD-4F3B-8412-8AF643BFA0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beefbb135abe4306" Type="http://schemas.openxmlformats.org/officeDocument/2006/relationships/hyperlink" Target="https://arbejdsretten.dk/afgoerelser/afgoerelser/2024/kendelse-af-20-februar-2024-i-fv2023-1085/" TargetMode="External"/><Relationship Id="Reb34d480706b4ff8" Type="http://schemas.openxmlformats.org/officeDocument/2006/relationships/hyperlink" Target="https://arbejdsretten.dk/media/ga2hsq3u/fv2023-1085.pdf"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2B5D51D139C7449253938BD1C98054" ma:contentTypeVersion="13" ma:contentTypeDescription="Opret et nyt dokument." ma:contentTypeScope="" ma:versionID="6f3c45a12c261508a4ff58a15cb697a4">
  <xsd:schema xmlns:xsd="http://www.w3.org/2001/XMLSchema" xmlns:xs="http://www.w3.org/2001/XMLSchema" xmlns:p="http://schemas.microsoft.com/office/2006/metadata/properties" xmlns:ns2="9f9445b5-d93f-454e-9eef-032b791707bf" xmlns:ns3="021f4f4b-2417-43a9-9ba3-55777723d995" targetNamespace="http://schemas.microsoft.com/office/2006/metadata/properties" ma:root="true" ma:fieldsID="0e3ed966315d87825dfc19c66146f2de" ns2:_="" ns3:_="">
    <xsd:import namespace="9f9445b5-d93f-454e-9eef-032b791707bf"/>
    <xsd:import namespace="021f4f4b-2417-43a9-9ba3-55777723d9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45b5-d93f-454e-9eef-032b79170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b9b82bd1-5b88-4495-bc64-de00bc2c0a0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1f4f4b-2417-43a9-9ba3-55777723d99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ksonomiopsamlingskolonne" ma:hidden="true" ma:list="{14a1e612-5353-4fd3-9c6e-f1b4fd078337}" ma:internalName="TaxCatchAll" ma:showField="CatchAllData" ma:web="021f4f4b-2417-43a9-9ba3-55777723d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1f4f4b-2417-43a9-9ba3-55777723d995">
      <UserInfo>
        <DisplayName/>
        <AccountId xsi:nil="true"/>
        <AccountType/>
      </UserInfo>
    </SharedWithUsers>
    <lcf76f155ced4ddcb4097134ff3c332f xmlns="9f9445b5-d93f-454e-9eef-032b791707bf">
      <Terms xmlns="http://schemas.microsoft.com/office/infopath/2007/PartnerControls"/>
    </lcf76f155ced4ddcb4097134ff3c332f>
    <TaxCatchAll xmlns="021f4f4b-2417-43a9-9ba3-55777723d995" xsi:nil="true"/>
  </documentManagement>
</p:properties>
</file>

<file path=customXml/itemProps1.xml><?xml version="1.0" encoding="utf-8"?>
<ds:datastoreItem xmlns:ds="http://schemas.openxmlformats.org/officeDocument/2006/customXml" ds:itemID="{A63CA41C-6639-4236-86FC-77C2A62555DE}"/>
</file>

<file path=customXml/itemProps2.xml><?xml version="1.0" encoding="utf-8"?>
<ds:datastoreItem xmlns:ds="http://schemas.openxmlformats.org/officeDocument/2006/customXml" ds:itemID="{B60E6EDD-7AE6-44EE-A76F-6486481B83B2}"/>
</file>

<file path=customXml/itemProps3.xml><?xml version="1.0" encoding="utf-8"?>
<ds:datastoreItem xmlns:ds="http://schemas.openxmlformats.org/officeDocument/2006/customXml" ds:itemID="{632C1AC5-F417-405F-8BCA-6ADA32A3C5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Hoffmann</dc:creator>
  <cp:keywords/>
  <dc:description/>
  <cp:lastModifiedBy>Per Hoffmann</cp:lastModifiedBy>
  <dcterms:created xsi:type="dcterms:W3CDTF">2024-03-10T12:33:58Z</dcterms:created>
  <dcterms:modified xsi:type="dcterms:W3CDTF">2024-03-10T12:34:45Z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0x010100CE2B5D51D139C7449253938BD1C98054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